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5" w:rsidRPr="00975C88" w:rsidRDefault="001A2E10" w:rsidP="004F41B4">
      <w:pPr>
        <w:ind w:left="-567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NOT</w:t>
      </w:r>
      <w:r w:rsidR="00204AA5" w:rsidRPr="00975C88">
        <w:rPr>
          <w:rFonts w:ascii="Times New Roman" w:hAnsi="Times New Roman" w:cs="Times New Roman"/>
          <w:b/>
          <w:bCs/>
        </w:rPr>
        <w:t xml:space="preserve">: </w:t>
      </w:r>
      <w:r w:rsidR="0073768A">
        <w:rPr>
          <w:rFonts w:ascii="Times New Roman" w:hAnsi="Times New Roman" w:cs="Times New Roman"/>
        </w:rPr>
        <w:t>Kolombiya tarafından</w:t>
      </w:r>
      <w:r w:rsidR="00204AA5" w:rsidRPr="00975C88">
        <w:rPr>
          <w:rFonts w:ascii="Times New Roman" w:hAnsi="Times New Roman" w:cs="Times New Roman"/>
        </w:rPr>
        <w:t xml:space="preserve"> Covid-19 test kitlerinin ithalatını kolaylaştırmak amacıyla, söz k</w:t>
      </w:r>
      <w:r w:rsidR="0073768A">
        <w:rPr>
          <w:rFonts w:ascii="Times New Roman" w:hAnsi="Times New Roman" w:cs="Times New Roman"/>
        </w:rPr>
        <w:t>onusu üründe gümrük tarifeleri geçici olarak askıya alınmıştır</w:t>
      </w:r>
      <w:r w:rsidR="00204AA5" w:rsidRPr="00975C88">
        <w:rPr>
          <w:rFonts w:ascii="Times New Roman" w:hAnsi="Times New Roman" w:cs="Times New Roman"/>
        </w:rPr>
        <w:t xml:space="preserve">. Ayrıca, tıbbi malzeme, hijyen ve dezenfektan ürünlerinde de gümrük tarifeleri kaldırılmış olup bazı tıbbi malzemeler KDV'den muaf tutulmuştur. Detaylı bilgiye </w:t>
      </w:r>
      <w:hyperlink r:id="rId4" w:history="1">
        <w:r w:rsidR="00204AA5" w:rsidRPr="00975C88">
          <w:rPr>
            <w:rStyle w:val="Kpr"/>
            <w:rFonts w:ascii="Times New Roman" w:hAnsi="Times New Roman" w:cs="Times New Roman"/>
          </w:rPr>
          <w:t>https://www.macmap.org/en/covid19</w:t>
        </w:r>
      </w:hyperlink>
      <w:r w:rsidR="00204AA5" w:rsidRPr="00975C88">
        <w:rPr>
          <w:rFonts w:ascii="Times New Roman" w:hAnsi="Times New Roman" w:cs="Times New Roman"/>
        </w:rPr>
        <w:t xml:space="preserve"> adresinden erişilebilmektedir.</w:t>
      </w:r>
    </w:p>
    <w:p w:rsidR="0032176A" w:rsidRPr="00975C88" w:rsidRDefault="0032176A" w:rsidP="004F41B4">
      <w:pPr>
        <w:ind w:left="-567"/>
        <w:rPr>
          <w:rFonts w:ascii="Times New Roman" w:hAnsi="Times New Roman" w:cs="Times New Roman"/>
          <w:b/>
          <w:bCs/>
        </w:rPr>
      </w:pPr>
      <w:r w:rsidRPr="00975C88">
        <w:rPr>
          <w:rFonts w:ascii="Times New Roman" w:hAnsi="Times New Roman" w:cs="Times New Roman"/>
          <w:b/>
          <w:bCs/>
        </w:rPr>
        <w:t>ÜLKE ADI:</w:t>
      </w:r>
      <w:r w:rsidR="000164AF" w:rsidRPr="00975C88">
        <w:rPr>
          <w:rFonts w:ascii="Times New Roman" w:hAnsi="Times New Roman" w:cs="Times New Roman"/>
          <w:b/>
          <w:bCs/>
        </w:rPr>
        <w:t xml:space="preserve"> KOLOMBİYA</w:t>
      </w:r>
    </w:p>
    <w:tbl>
      <w:tblPr>
        <w:tblStyle w:val="TabloKlavuzu"/>
        <w:tblW w:w="14884" w:type="dxa"/>
        <w:tblInd w:w="-572" w:type="dxa"/>
        <w:tblLook w:val="04A0" w:firstRow="1" w:lastRow="0" w:firstColumn="1" w:lastColumn="0" w:noHBand="0" w:noVBand="1"/>
      </w:tblPr>
      <w:tblGrid>
        <w:gridCol w:w="408"/>
        <w:gridCol w:w="1055"/>
        <w:gridCol w:w="5058"/>
        <w:gridCol w:w="4252"/>
        <w:gridCol w:w="4111"/>
      </w:tblGrid>
      <w:tr w:rsidR="002B5086" w:rsidRPr="00975C88" w:rsidTr="00B16DB5">
        <w:trPr>
          <w:trHeight w:val="987"/>
        </w:trPr>
        <w:tc>
          <w:tcPr>
            <w:tcW w:w="408" w:type="dxa"/>
            <w:shd w:val="clear" w:color="auto" w:fill="DEEAF6" w:themeFill="accent1" w:themeFillTint="33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DEEAF6" w:themeFill="accent1" w:themeFillTint="33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C88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5058" w:type="dxa"/>
            <w:shd w:val="clear" w:color="auto" w:fill="DEEAF6" w:themeFill="accent1" w:themeFillTint="33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C88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C88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C88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2B5086" w:rsidRPr="00975C88" w:rsidTr="00B16DB5">
        <w:trPr>
          <w:trHeight w:val="800"/>
        </w:trPr>
        <w:tc>
          <w:tcPr>
            <w:tcW w:w="408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C88">
              <w:rPr>
                <w:rFonts w:ascii="Times New Roman" w:hAnsi="Times New Roman" w:cs="Times New Roman"/>
                <w:b/>
                <w:bCs/>
              </w:rPr>
              <w:t>1-</w:t>
            </w:r>
          </w:p>
        </w:tc>
        <w:tc>
          <w:tcPr>
            <w:tcW w:w="1055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C88">
              <w:rPr>
                <w:rFonts w:ascii="Times New Roman" w:hAnsi="Times New Roman" w:cs="Times New Roman"/>
                <w:b/>
                <w:bCs/>
              </w:rPr>
              <w:t>300490</w:t>
            </w:r>
          </w:p>
        </w:tc>
        <w:tc>
          <w:tcPr>
            <w:tcW w:w="5058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</w:rPr>
            </w:pPr>
            <w:r w:rsidRPr="00975C88">
              <w:rPr>
                <w:rFonts w:ascii="Times New Roman" w:hAnsi="Times New Roman" w:cs="Times New Roman"/>
              </w:rPr>
              <w:t>Tedavide/korunmada kullanılmak üzere hazırlanan diğer ilaçlar</w:t>
            </w:r>
          </w:p>
        </w:tc>
        <w:tc>
          <w:tcPr>
            <w:tcW w:w="4252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</w:rPr>
            </w:pPr>
            <w:r w:rsidRPr="00975C88">
              <w:rPr>
                <w:rFonts w:ascii="Times New Roman" w:hAnsi="Times New Roman" w:cs="Times New Roman"/>
              </w:rPr>
              <w:t>Alt başlığı göre değişmekle birlikte %0-%10 arasında değişebiliyor.</w:t>
            </w:r>
          </w:p>
        </w:tc>
        <w:tc>
          <w:tcPr>
            <w:tcW w:w="4111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</w:rPr>
            </w:pPr>
            <w:r w:rsidRPr="00975C88">
              <w:rPr>
                <w:rFonts w:ascii="Times New Roman" w:hAnsi="Times New Roman" w:cs="Times New Roman"/>
              </w:rPr>
              <w:t>Tabidir. İlgili kuruluş INVIMA (www.invima.gov.co)</w:t>
            </w:r>
          </w:p>
        </w:tc>
      </w:tr>
      <w:tr w:rsidR="002B5086" w:rsidRPr="00975C88" w:rsidTr="002B5086">
        <w:tc>
          <w:tcPr>
            <w:tcW w:w="408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C88">
              <w:rPr>
                <w:rFonts w:ascii="Times New Roman" w:hAnsi="Times New Roman" w:cs="Times New Roman"/>
                <w:b/>
                <w:bCs/>
              </w:rPr>
              <w:t>2-</w:t>
            </w:r>
          </w:p>
        </w:tc>
        <w:tc>
          <w:tcPr>
            <w:tcW w:w="1055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C88">
              <w:rPr>
                <w:rFonts w:ascii="Times New Roman" w:hAnsi="Times New Roman" w:cs="Times New Roman"/>
                <w:b/>
                <w:bCs/>
              </w:rPr>
              <w:t>220720</w:t>
            </w:r>
          </w:p>
        </w:tc>
        <w:tc>
          <w:tcPr>
            <w:tcW w:w="5058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</w:rPr>
            </w:pPr>
            <w:r w:rsidRPr="00975C88">
              <w:rPr>
                <w:rFonts w:ascii="Times New Roman" w:hAnsi="Times New Roman" w:cs="Times New Roman"/>
              </w:rPr>
              <w:t>Etil Alkol</w:t>
            </w:r>
          </w:p>
        </w:tc>
        <w:tc>
          <w:tcPr>
            <w:tcW w:w="4252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</w:rPr>
            </w:pPr>
            <w:r w:rsidRPr="00975C88">
              <w:rPr>
                <w:rFonts w:ascii="Times New Roman" w:hAnsi="Times New Roman" w:cs="Times New Roman"/>
              </w:rPr>
              <w:t>%10</w:t>
            </w:r>
          </w:p>
        </w:tc>
        <w:tc>
          <w:tcPr>
            <w:tcW w:w="4111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</w:rPr>
            </w:pPr>
            <w:r w:rsidRPr="00975C88">
              <w:rPr>
                <w:rFonts w:ascii="Times New Roman" w:hAnsi="Times New Roman" w:cs="Times New Roman"/>
              </w:rPr>
              <w:t>Tabidir. İlgili kuruluş INVIMA (www.invima.gov.co)</w:t>
            </w:r>
          </w:p>
        </w:tc>
      </w:tr>
      <w:tr w:rsidR="002B5086" w:rsidRPr="00975C88" w:rsidTr="002B5086">
        <w:tc>
          <w:tcPr>
            <w:tcW w:w="408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C88">
              <w:rPr>
                <w:rFonts w:ascii="Times New Roman" w:hAnsi="Times New Roman" w:cs="Times New Roman"/>
                <w:b/>
                <w:bCs/>
              </w:rPr>
              <w:t>3-</w:t>
            </w:r>
          </w:p>
        </w:tc>
        <w:tc>
          <w:tcPr>
            <w:tcW w:w="1055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C8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058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</w:rPr>
            </w:pPr>
            <w:r w:rsidRPr="00975C88">
              <w:rPr>
                <w:rFonts w:ascii="Times New Roman" w:hAnsi="Times New Roman" w:cs="Times New Roman"/>
              </w:rPr>
              <w:t>Eczacılık Ürünleri</w:t>
            </w:r>
          </w:p>
        </w:tc>
        <w:tc>
          <w:tcPr>
            <w:tcW w:w="4252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</w:rPr>
            </w:pPr>
            <w:r w:rsidRPr="00975C88">
              <w:rPr>
                <w:rFonts w:ascii="Times New Roman" w:hAnsi="Times New Roman" w:cs="Times New Roman"/>
              </w:rPr>
              <w:t>Alt başlığı göre değişmekle birlikte %0-%10 arasında değişebiliyor.</w:t>
            </w:r>
          </w:p>
        </w:tc>
        <w:tc>
          <w:tcPr>
            <w:tcW w:w="4111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</w:rPr>
            </w:pPr>
            <w:r w:rsidRPr="00975C88">
              <w:rPr>
                <w:rFonts w:ascii="Times New Roman" w:hAnsi="Times New Roman" w:cs="Times New Roman"/>
              </w:rPr>
              <w:t>Tabidir. İlgili kuruluş INVIMA (www.invima.gov.co)</w:t>
            </w:r>
          </w:p>
        </w:tc>
      </w:tr>
      <w:tr w:rsidR="002B5086" w:rsidRPr="00975C88" w:rsidTr="002B5086">
        <w:tc>
          <w:tcPr>
            <w:tcW w:w="408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C88">
              <w:rPr>
                <w:rFonts w:ascii="Times New Roman" w:hAnsi="Times New Roman" w:cs="Times New Roman"/>
                <w:b/>
                <w:bCs/>
              </w:rPr>
              <w:t>4-</w:t>
            </w:r>
          </w:p>
        </w:tc>
        <w:tc>
          <w:tcPr>
            <w:tcW w:w="1055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C88">
              <w:rPr>
                <w:rFonts w:ascii="Times New Roman" w:hAnsi="Times New Roman" w:cs="Times New Roman"/>
                <w:b/>
                <w:bCs/>
              </w:rPr>
              <w:t>9018</w:t>
            </w:r>
          </w:p>
        </w:tc>
        <w:tc>
          <w:tcPr>
            <w:tcW w:w="5058" w:type="dxa"/>
            <w:vAlign w:val="center"/>
          </w:tcPr>
          <w:p w:rsidR="002B5086" w:rsidRPr="00975C88" w:rsidRDefault="002B5086" w:rsidP="00204AA5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lang w:val="en-US"/>
              </w:rPr>
            </w:pPr>
            <w:r w:rsidRPr="00975C88">
              <w:rPr>
                <w:rFonts w:ascii="Times New Roman" w:eastAsia="Times New Roman" w:hAnsi="Times New Roman" w:cs="Times New Roman"/>
                <w:vanish/>
                <w:lang w:val="en-US"/>
              </w:rPr>
              <w:t>Formun Üstü</w:t>
            </w:r>
          </w:p>
          <w:tbl>
            <w:tblPr>
              <w:tblW w:w="4750" w:type="pct"/>
              <w:jc w:val="center"/>
              <w:tblCellSpacing w:w="22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00"/>
            </w:tblGrid>
            <w:tr w:rsidR="002B5086" w:rsidRPr="00975C88" w:rsidTr="00B222B9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B5086" w:rsidRPr="00975C88" w:rsidRDefault="002B5086" w:rsidP="00204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s-ES"/>
                    </w:rPr>
                  </w:pPr>
                  <w:r w:rsidRPr="00975C88">
                    <w:rPr>
                      <w:rFonts w:ascii="Times New Roman" w:eastAsia="Times New Roman" w:hAnsi="Times New Roman" w:cs="Times New Roman"/>
                      <w:color w:val="000000"/>
                      <w:lang w:val="es-ES"/>
                    </w:rPr>
                    <w:t>Tıpta, cerrahide, dişçilikte ve veterinerlikte kullanılan alet ve cihazlar</w:t>
                  </w:r>
                </w:p>
              </w:tc>
            </w:tr>
          </w:tbl>
          <w:p w:rsidR="002B5086" w:rsidRPr="00975C88" w:rsidRDefault="002B5086" w:rsidP="00204AA5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lang w:val="es-ES"/>
              </w:rPr>
            </w:pPr>
            <w:r w:rsidRPr="00975C88">
              <w:rPr>
                <w:rFonts w:ascii="Times New Roman" w:eastAsia="Times New Roman" w:hAnsi="Times New Roman" w:cs="Times New Roman"/>
                <w:vanish/>
                <w:lang w:val="es-ES"/>
              </w:rPr>
              <w:t>Formun Altı</w:t>
            </w:r>
          </w:p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52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</w:rPr>
            </w:pPr>
            <w:r w:rsidRPr="00975C88">
              <w:rPr>
                <w:rFonts w:ascii="Times New Roman" w:hAnsi="Times New Roman" w:cs="Times New Roman"/>
              </w:rPr>
              <w:t>Alt başlığı göre değişmekle birlikte %0-%10 arasında değişebiliyor.</w:t>
            </w:r>
          </w:p>
        </w:tc>
        <w:tc>
          <w:tcPr>
            <w:tcW w:w="4111" w:type="dxa"/>
            <w:vAlign w:val="center"/>
          </w:tcPr>
          <w:p w:rsidR="002B5086" w:rsidRPr="00975C88" w:rsidRDefault="002B5086" w:rsidP="00204AA5">
            <w:pPr>
              <w:jc w:val="center"/>
              <w:rPr>
                <w:rFonts w:ascii="Times New Roman" w:hAnsi="Times New Roman" w:cs="Times New Roman"/>
              </w:rPr>
            </w:pPr>
            <w:r w:rsidRPr="00975C88">
              <w:rPr>
                <w:rFonts w:ascii="Times New Roman" w:hAnsi="Times New Roman" w:cs="Times New Roman"/>
              </w:rPr>
              <w:t>Tabidir. İlgili kuruluş INVIMA (www.invima.gov.co)</w:t>
            </w:r>
          </w:p>
        </w:tc>
      </w:tr>
    </w:tbl>
    <w:p w:rsidR="004818F1" w:rsidRPr="00975C88" w:rsidRDefault="004818F1">
      <w:pPr>
        <w:rPr>
          <w:rFonts w:ascii="Times New Roman" w:hAnsi="Times New Roman" w:cs="Times New Roman"/>
          <w:color w:val="FF0000"/>
        </w:rPr>
      </w:pPr>
    </w:p>
    <w:sectPr w:rsidR="004818F1" w:rsidRPr="00975C88" w:rsidSect="002B508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164AF"/>
    <w:rsid w:val="00032D1C"/>
    <w:rsid w:val="000353A9"/>
    <w:rsid w:val="00127FE0"/>
    <w:rsid w:val="001A2E10"/>
    <w:rsid w:val="00204AA5"/>
    <w:rsid w:val="002B5086"/>
    <w:rsid w:val="0032176A"/>
    <w:rsid w:val="003F04E2"/>
    <w:rsid w:val="00445CE1"/>
    <w:rsid w:val="004818F1"/>
    <w:rsid w:val="004F41B4"/>
    <w:rsid w:val="00622FA0"/>
    <w:rsid w:val="006A4575"/>
    <w:rsid w:val="0073768A"/>
    <w:rsid w:val="0093203F"/>
    <w:rsid w:val="00953ECD"/>
    <w:rsid w:val="00975C88"/>
    <w:rsid w:val="009F2F83"/>
    <w:rsid w:val="00A57E32"/>
    <w:rsid w:val="00A91076"/>
    <w:rsid w:val="00AE3202"/>
    <w:rsid w:val="00B16DB5"/>
    <w:rsid w:val="00B222B9"/>
    <w:rsid w:val="00BD7289"/>
    <w:rsid w:val="00D056F6"/>
    <w:rsid w:val="00D47972"/>
    <w:rsid w:val="00D52496"/>
    <w:rsid w:val="00DF025F"/>
    <w:rsid w:val="00EC5D52"/>
    <w:rsid w:val="00F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22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222B9"/>
    <w:rPr>
      <w:rFonts w:ascii="Arial" w:eastAsia="Times New Roman" w:hAnsi="Arial" w:cs="Arial"/>
      <w:vanish/>
      <w:sz w:val="16"/>
      <w:szCs w:val="16"/>
      <w:lang w:val="en-US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22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222B9"/>
    <w:rPr>
      <w:rFonts w:ascii="Arial" w:eastAsia="Times New Roman" w:hAnsi="Arial" w:cs="Arial"/>
      <w:vanish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204AA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0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cmap.org/en/covid1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30</cp:revision>
  <dcterms:created xsi:type="dcterms:W3CDTF">2020-04-14T20:20:00Z</dcterms:created>
  <dcterms:modified xsi:type="dcterms:W3CDTF">2020-05-04T08:46:00Z</dcterms:modified>
</cp:coreProperties>
</file>